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219" w:rsidRDefault="00A25219">
      <w:pPr>
        <w:tabs>
          <w:tab w:val="left" w:pos="915"/>
        </w:tabs>
        <w:jc w:val="both"/>
        <w:rPr>
          <w:i/>
          <w:iCs/>
        </w:rPr>
      </w:pPr>
    </w:p>
    <w:p w:rsidR="00A25219" w:rsidRDefault="00A25219">
      <w:pPr>
        <w:framePr w:w="3967" w:h="430" w:hSpace="141" w:wrap="auto" w:vAnchor="text" w:hAnchor="page" w:x="6658" w:y="-20"/>
        <w:jc w:val="both"/>
      </w:pPr>
      <w:r>
        <w:t xml:space="preserve">           </w:t>
      </w:r>
      <w:r>
        <w:tab/>
        <w:t xml:space="preserve">    </w:t>
      </w:r>
    </w:p>
    <w:p w:rsidR="00A25219" w:rsidRPr="006417EA" w:rsidRDefault="00A25219">
      <w:pPr>
        <w:jc w:val="both"/>
        <w:rPr>
          <w:sz w:val="24"/>
          <w:szCs w:val="24"/>
        </w:rPr>
      </w:pPr>
      <w:r w:rsidRPr="006417EA">
        <w:rPr>
          <w:sz w:val="24"/>
          <w:szCs w:val="24"/>
        </w:rPr>
        <w:t>Tiszavárkony Község Polgármesterétől</w:t>
      </w:r>
    </w:p>
    <w:p w:rsidR="00A25219" w:rsidRPr="006417EA" w:rsidRDefault="00A25219">
      <w:pPr>
        <w:pStyle w:val="Heading1"/>
        <w:jc w:val="both"/>
        <w:rPr>
          <w:b w:val="0"/>
          <w:bCs w:val="0"/>
        </w:rPr>
      </w:pPr>
      <w:r w:rsidRPr="006417EA">
        <w:rPr>
          <w:b w:val="0"/>
          <w:bCs w:val="0"/>
        </w:rPr>
        <w:t xml:space="preserve">Tiszavárkony </w:t>
      </w:r>
    </w:p>
    <w:p w:rsidR="00A25219" w:rsidRDefault="00A25219">
      <w:pPr>
        <w:jc w:val="both"/>
        <w:rPr>
          <w:sz w:val="24"/>
          <w:szCs w:val="24"/>
        </w:rPr>
      </w:pPr>
      <w:r>
        <w:rPr>
          <w:sz w:val="24"/>
          <w:szCs w:val="24"/>
        </w:rPr>
        <w:t>Endre Király u. 37.</w:t>
      </w:r>
    </w:p>
    <w:p w:rsidR="00A25219" w:rsidRDefault="00A25219"/>
    <w:p w:rsidR="00A25219" w:rsidRPr="00D63B5F" w:rsidRDefault="00A25219">
      <w:pPr>
        <w:pStyle w:val="Heading7"/>
        <w:jc w:val="center"/>
        <w:rPr>
          <w:rFonts w:ascii="Times New Roman" w:hAnsi="Times New Roman" w:cs="Times New Roman"/>
          <w:b/>
          <w:bCs/>
        </w:rPr>
      </w:pPr>
      <w:r w:rsidRPr="00D63B5F">
        <w:rPr>
          <w:rFonts w:ascii="Times New Roman" w:hAnsi="Times New Roman" w:cs="Times New Roman"/>
          <w:b/>
          <w:bCs/>
        </w:rPr>
        <w:t>E L Ő T E R J E S Z T É S</w:t>
      </w:r>
    </w:p>
    <w:p w:rsidR="00A25219" w:rsidRPr="00D63B5F" w:rsidRDefault="00A25219"/>
    <w:p w:rsidR="00A25219" w:rsidRDefault="00A25219"/>
    <w:p w:rsidR="00A25219" w:rsidRPr="006417EA" w:rsidRDefault="00A25219">
      <w:pPr>
        <w:rPr>
          <w:sz w:val="24"/>
          <w:szCs w:val="24"/>
        </w:rPr>
      </w:pPr>
      <w:r>
        <w:rPr>
          <w:b/>
          <w:bCs/>
          <w:sz w:val="24"/>
          <w:szCs w:val="24"/>
        </w:rPr>
        <w:tab/>
      </w:r>
      <w:r>
        <w:rPr>
          <w:b/>
          <w:bCs/>
          <w:sz w:val="24"/>
          <w:szCs w:val="24"/>
        </w:rPr>
        <w:tab/>
        <w:t xml:space="preserve">  </w:t>
      </w:r>
      <w:r w:rsidRPr="006417EA">
        <w:rPr>
          <w:sz w:val="24"/>
          <w:szCs w:val="24"/>
        </w:rPr>
        <w:t>A Képviselő-testület 2012. szeptember 20-i ülésére</w:t>
      </w:r>
    </w:p>
    <w:p w:rsidR="00A25219" w:rsidRPr="006417EA" w:rsidRDefault="00A25219">
      <w:pPr>
        <w:jc w:val="center"/>
        <w:rPr>
          <w:sz w:val="24"/>
          <w:szCs w:val="24"/>
        </w:rPr>
      </w:pPr>
      <w:r w:rsidRPr="006417EA">
        <w:rPr>
          <w:sz w:val="24"/>
          <w:szCs w:val="24"/>
        </w:rPr>
        <w:t>Tiszavárkony Község Önkormányzat gazdálkodásának 2012. első félévi helyzetéről</w:t>
      </w:r>
    </w:p>
    <w:p w:rsidR="00A25219" w:rsidRPr="006417EA" w:rsidRDefault="00A25219">
      <w:pPr>
        <w:ind w:left="3540" w:firstLine="708"/>
        <w:jc w:val="both"/>
        <w:rPr>
          <w:sz w:val="24"/>
          <w:szCs w:val="24"/>
        </w:rPr>
      </w:pPr>
    </w:p>
    <w:p w:rsidR="00A25219" w:rsidRPr="006417EA" w:rsidRDefault="00A25219">
      <w:pPr>
        <w:jc w:val="both"/>
        <w:rPr>
          <w:sz w:val="24"/>
          <w:szCs w:val="24"/>
        </w:rPr>
      </w:pPr>
    </w:p>
    <w:p w:rsidR="00A25219" w:rsidRPr="006417EA" w:rsidRDefault="00A25219">
      <w:pPr>
        <w:jc w:val="both"/>
        <w:rPr>
          <w:sz w:val="24"/>
          <w:szCs w:val="24"/>
        </w:rPr>
      </w:pPr>
      <w:r>
        <w:rPr>
          <w:sz w:val="24"/>
          <w:szCs w:val="24"/>
        </w:rPr>
        <w:t>Tisztelt Képviselő</w:t>
      </w:r>
      <w:r w:rsidRPr="006417EA">
        <w:rPr>
          <w:sz w:val="24"/>
          <w:szCs w:val="24"/>
        </w:rPr>
        <w:t>testület!</w:t>
      </w:r>
    </w:p>
    <w:p w:rsidR="00A25219" w:rsidRDefault="00A25219" w:rsidP="00D63B5F">
      <w:pPr>
        <w:pStyle w:val="Heading1"/>
        <w:rPr>
          <w:b w:val="0"/>
          <w:bCs w:val="0"/>
        </w:rPr>
      </w:pPr>
    </w:p>
    <w:p w:rsidR="00A25219" w:rsidRDefault="00A25219">
      <w:pPr>
        <w:pStyle w:val="BodyText"/>
        <w:rPr>
          <w:sz w:val="24"/>
          <w:szCs w:val="24"/>
        </w:rPr>
      </w:pPr>
      <w:r>
        <w:rPr>
          <w:sz w:val="24"/>
          <w:szCs w:val="24"/>
        </w:rPr>
        <w:t xml:space="preserve">Az államháztartásról szóló többször módosított 2011. évi CXCV. törvény </w:t>
      </w:r>
      <w:r>
        <w:rPr>
          <w:b/>
          <w:bCs/>
          <w:sz w:val="24"/>
          <w:szCs w:val="24"/>
        </w:rPr>
        <w:t xml:space="preserve">87. § </w:t>
      </w:r>
      <w:r>
        <w:rPr>
          <w:sz w:val="24"/>
          <w:szCs w:val="24"/>
        </w:rPr>
        <w:t>(1) bekezdése alapján a polgármester a helyi önkormányzat gazdálkodásának első félévi helyzetéről szeptember 15-éig, háromnegyed éves helyzetéről a költségvetési koncepció ismertetésekor írásban tájékoztatja a képviselő-testületet. A tájékoztatás tartalmazza a helyi önkormányzat költségvetési rendeletében megjelenő előirányzatok és a költségvetési egyenleg alakulását.</w:t>
      </w:r>
    </w:p>
    <w:p w:rsidR="00A25219" w:rsidRDefault="00A25219">
      <w:pPr>
        <w:pStyle w:val="BodyText"/>
        <w:rPr>
          <w:sz w:val="24"/>
          <w:szCs w:val="24"/>
        </w:rPr>
      </w:pPr>
      <w:r>
        <w:rPr>
          <w:sz w:val="24"/>
          <w:szCs w:val="24"/>
        </w:rPr>
        <w:t xml:space="preserve">A tájékoztató tartalmazza a helyi önkormányzat  költségvetési előirányzatainak időarányos alakulását, a tartalék felhasználását, a hiány (többlet) összegének alakulását, valamint a helyi önkormányzat költségvetése teljesülésének alakulását. </w:t>
      </w:r>
    </w:p>
    <w:p w:rsidR="00A25219" w:rsidRDefault="00A25219">
      <w:pPr>
        <w:pStyle w:val="BodyText"/>
        <w:rPr>
          <w:sz w:val="24"/>
          <w:szCs w:val="24"/>
        </w:rPr>
      </w:pPr>
      <w:r>
        <w:rPr>
          <w:sz w:val="24"/>
          <w:szCs w:val="24"/>
        </w:rPr>
        <w:t xml:space="preserve"> A fenti törvényi hivatkozás alapján a költségvetési rendeletben jóváhagyott szerkezet szerint az  alábbiakban tájékoztatom a képviselőtestületet!</w:t>
      </w:r>
    </w:p>
    <w:p w:rsidR="00A25219" w:rsidRDefault="00A25219">
      <w:pPr>
        <w:pStyle w:val="BodyText"/>
        <w:rPr>
          <w:sz w:val="24"/>
          <w:szCs w:val="24"/>
        </w:rPr>
      </w:pPr>
      <w:r>
        <w:rPr>
          <w:sz w:val="24"/>
          <w:szCs w:val="24"/>
        </w:rPr>
        <w:t xml:space="preserve"> </w:t>
      </w:r>
    </w:p>
    <w:p w:rsidR="00A25219" w:rsidRDefault="00A25219">
      <w:pPr>
        <w:jc w:val="both"/>
        <w:rPr>
          <w:b/>
          <w:bCs/>
          <w:sz w:val="24"/>
          <w:szCs w:val="24"/>
        </w:rPr>
      </w:pPr>
    </w:p>
    <w:p w:rsidR="00A25219" w:rsidRDefault="00A25219">
      <w:pPr>
        <w:jc w:val="both"/>
        <w:rPr>
          <w:b/>
          <w:bCs/>
          <w:sz w:val="24"/>
          <w:szCs w:val="24"/>
        </w:rPr>
      </w:pPr>
      <w:r>
        <w:rPr>
          <w:b/>
          <w:bCs/>
          <w:sz w:val="24"/>
          <w:szCs w:val="24"/>
        </w:rPr>
        <w:t>BEVÉTELEK TERVEZÉSE</w:t>
      </w:r>
    </w:p>
    <w:p w:rsidR="00A25219" w:rsidRDefault="00A25219">
      <w:pPr>
        <w:jc w:val="both"/>
        <w:rPr>
          <w:sz w:val="24"/>
          <w:szCs w:val="24"/>
        </w:rPr>
      </w:pPr>
    </w:p>
    <w:p w:rsidR="00A25219" w:rsidRDefault="00A25219">
      <w:pPr>
        <w:jc w:val="both"/>
        <w:rPr>
          <w:b/>
          <w:bCs/>
          <w:sz w:val="24"/>
          <w:szCs w:val="24"/>
        </w:rPr>
      </w:pPr>
      <w:r>
        <w:rPr>
          <w:sz w:val="24"/>
          <w:szCs w:val="24"/>
        </w:rPr>
        <w:t xml:space="preserve"> </w:t>
      </w:r>
      <w:r>
        <w:rPr>
          <w:b/>
          <w:bCs/>
          <w:sz w:val="24"/>
          <w:szCs w:val="24"/>
        </w:rPr>
        <w:t>1. Intézményi működési bevételek.</w:t>
      </w:r>
    </w:p>
    <w:p w:rsidR="00A25219" w:rsidRDefault="00A25219">
      <w:pPr>
        <w:jc w:val="both"/>
        <w:rPr>
          <w:sz w:val="24"/>
          <w:szCs w:val="24"/>
        </w:rPr>
      </w:pPr>
      <w:r>
        <w:rPr>
          <w:sz w:val="24"/>
          <w:szCs w:val="24"/>
        </w:rPr>
        <w:t xml:space="preserve">Az intézményi működési bevételeket </w:t>
      </w:r>
      <w:r>
        <w:rPr>
          <w:b/>
          <w:bCs/>
          <w:sz w:val="24"/>
          <w:szCs w:val="24"/>
        </w:rPr>
        <w:t>5372 e Ft-ban terveztük</w:t>
      </w:r>
      <w:r>
        <w:rPr>
          <w:sz w:val="24"/>
          <w:szCs w:val="24"/>
        </w:rPr>
        <w:t>. Az 1-6. havi teljesítés</w:t>
      </w:r>
    </w:p>
    <w:p w:rsidR="00A25219" w:rsidRDefault="00A25219">
      <w:pPr>
        <w:jc w:val="both"/>
        <w:rPr>
          <w:sz w:val="24"/>
          <w:szCs w:val="24"/>
        </w:rPr>
      </w:pPr>
      <w:r>
        <w:rPr>
          <w:b/>
          <w:bCs/>
          <w:sz w:val="24"/>
          <w:szCs w:val="24"/>
        </w:rPr>
        <w:t>1941 eFt volt</w:t>
      </w:r>
      <w:r>
        <w:rPr>
          <w:sz w:val="24"/>
          <w:szCs w:val="24"/>
        </w:rPr>
        <w:t>, mely összeg az időarányos teljesesítés alatt marad némileg. A  mellékelt táblázat tanúsága szerint az önkormányzati feladatoknál mutatkozik némi elmaradás.  Ezen bevételek az intézmények szolgáltatásainak díjbevételéből származnak (igazgatási szolgáltatási díjak, étkezésért fizetett térítési díj, közterület használat és bérleti díjak). (1.sz. melléklet)</w:t>
      </w:r>
    </w:p>
    <w:p w:rsidR="00A25219" w:rsidRDefault="00A25219">
      <w:pPr>
        <w:jc w:val="both"/>
        <w:rPr>
          <w:sz w:val="24"/>
          <w:szCs w:val="24"/>
        </w:rPr>
      </w:pPr>
    </w:p>
    <w:p w:rsidR="00A25219" w:rsidRDefault="00A25219">
      <w:pPr>
        <w:jc w:val="both"/>
        <w:rPr>
          <w:b/>
          <w:bCs/>
          <w:sz w:val="24"/>
          <w:szCs w:val="24"/>
        </w:rPr>
      </w:pPr>
      <w:r>
        <w:rPr>
          <w:b/>
          <w:bCs/>
          <w:sz w:val="24"/>
          <w:szCs w:val="24"/>
        </w:rPr>
        <w:t xml:space="preserve"> 2. Az önkormányzat sajátos folyó bevétele.</w:t>
      </w:r>
    </w:p>
    <w:p w:rsidR="00A25219" w:rsidRDefault="00A25219">
      <w:pPr>
        <w:jc w:val="both"/>
        <w:rPr>
          <w:sz w:val="24"/>
          <w:szCs w:val="24"/>
        </w:rPr>
      </w:pPr>
      <w:r>
        <w:rPr>
          <w:sz w:val="24"/>
          <w:szCs w:val="24"/>
        </w:rPr>
        <w:t>Itt jelennek meg a központilag szabályozott sajátos működési forrásaink, a helyi adók, az átengedett központi adók, bírságok bevételei. Az előterjesztés részeként a 11.számú</w:t>
      </w:r>
      <w:r>
        <w:rPr>
          <w:b/>
          <w:bCs/>
          <w:sz w:val="24"/>
          <w:szCs w:val="24"/>
        </w:rPr>
        <w:t xml:space="preserve"> mellékletben részletezésre kerülnek a helyi adóbevételek</w:t>
      </w:r>
      <w:r>
        <w:rPr>
          <w:sz w:val="24"/>
          <w:szCs w:val="24"/>
        </w:rPr>
        <w:t xml:space="preserve">. A hátralék behajtására vonatkozó intézkedéseket megkezdtük. </w:t>
      </w:r>
    </w:p>
    <w:p w:rsidR="00A25219" w:rsidRDefault="00A25219">
      <w:pPr>
        <w:jc w:val="both"/>
        <w:rPr>
          <w:i/>
          <w:iCs/>
          <w:sz w:val="24"/>
          <w:szCs w:val="24"/>
        </w:rPr>
      </w:pPr>
      <w:r>
        <w:rPr>
          <w:i/>
          <w:iCs/>
          <w:sz w:val="24"/>
          <w:szCs w:val="24"/>
        </w:rPr>
        <w:t>Átengedett központi adók:</w:t>
      </w:r>
    </w:p>
    <w:p w:rsidR="00A25219" w:rsidRDefault="00A25219">
      <w:pPr>
        <w:jc w:val="both"/>
        <w:rPr>
          <w:sz w:val="24"/>
          <w:szCs w:val="24"/>
        </w:rPr>
      </w:pPr>
      <w:r>
        <w:rPr>
          <w:sz w:val="24"/>
          <w:szCs w:val="24"/>
        </w:rPr>
        <w:t xml:space="preserve">Az átengedett központi adók tekintetében a teljesítés időarányos. </w:t>
      </w:r>
    </w:p>
    <w:p w:rsidR="00A25219" w:rsidRDefault="00A25219">
      <w:pPr>
        <w:jc w:val="both"/>
        <w:rPr>
          <w:i/>
          <w:iCs/>
          <w:sz w:val="24"/>
          <w:szCs w:val="24"/>
        </w:rPr>
      </w:pPr>
      <w:r>
        <w:rPr>
          <w:i/>
          <w:iCs/>
          <w:sz w:val="24"/>
          <w:szCs w:val="24"/>
        </w:rPr>
        <w:t>Bírságok és egyéb sajátos bevételek:</w:t>
      </w:r>
    </w:p>
    <w:p w:rsidR="00A25219" w:rsidRDefault="00A25219">
      <w:pPr>
        <w:jc w:val="both"/>
        <w:rPr>
          <w:i/>
          <w:iCs/>
          <w:sz w:val="24"/>
          <w:szCs w:val="24"/>
        </w:rPr>
      </w:pPr>
      <w:r>
        <w:rPr>
          <w:sz w:val="24"/>
          <w:szCs w:val="24"/>
        </w:rPr>
        <w:t xml:space="preserve">A jogcímnél átcsoportosítás történt a lakbér tekintetében, mely az eredeti előirányzatnál tévesen – a bizonytalan jogi helyzet miatt- az egyéb saját bevételeknél szerepelt. </w:t>
      </w:r>
    </w:p>
    <w:p w:rsidR="00A25219" w:rsidRDefault="00A25219">
      <w:pPr>
        <w:jc w:val="both"/>
        <w:rPr>
          <w:i/>
          <w:iCs/>
          <w:sz w:val="24"/>
          <w:szCs w:val="24"/>
        </w:rPr>
      </w:pPr>
    </w:p>
    <w:p w:rsidR="00A25219" w:rsidRDefault="00A25219">
      <w:pPr>
        <w:jc w:val="both"/>
        <w:rPr>
          <w:i/>
          <w:iCs/>
          <w:sz w:val="24"/>
          <w:szCs w:val="24"/>
        </w:rPr>
      </w:pPr>
    </w:p>
    <w:p w:rsidR="00A25219" w:rsidRDefault="00A25219">
      <w:pPr>
        <w:jc w:val="both"/>
        <w:rPr>
          <w:i/>
          <w:iCs/>
          <w:sz w:val="24"/>
          <w:szCs w:val="24"/>
        </w:rPr>
      </w:pPr>
    </w:p>
    <w:p w:rsidR="00A25219" w:rsidRDefault="00A25219">
      <w:pPr>
        <w:jc w:val="both"/>
        <w:rPr>
          <w:i/>
          <w:iCs/>
          <w:sz w:val="24"/>
          <w:szCs w:val="24"/>
        </w:rPr>
      </w:pPr>
    </w:p>
    <w:p w:rsidR="00A25219" w:rsidRDefault="00A25219">
      <w:pPr>
        <w:jc w:val="both"/>
        <w:rPr>
          <w:b/>
          <w:bCs/>
          <w:sz w:val="24"/>
          <w:szCs w:val="24"/>
        </w:rPr>
      </w:pPr>
      <w:r>
        <w:rPr>
          <w:b/>
          <w:bCs/>
          <w:sz w:val="24"/>
          <w:szCs w:val="24"/>
        </w:rPr>
        <w:t xml:space="preserve"> 3. Önkormányzatok költségvetési támogatása</w:t>
      </w:r>
    </w:p>
    <w:p w:rsidR="00A25219" w:rsidRDefault="00A25219">
      <w:pPr>
        <w:jc w:val="both"/>
        <w:rPr>
          <w:sz w:val="24"/>
          <w:szCs w:val="24"/>
        </w:rPr>
      </w:pPr>
      <w:r>
        <w:rPr>
          <w:sz w:val="24"/>
          <w:szCs w:val="24"/>
        </w:rPr>
        <w:t>A helyi önkormányzat normatív állami hozzájárulásának jogcímeit, és fajlagos összegeit a Ktv. 3. sz. mellékletében foglaltak szerint terveztük. Felhasználási kötöttségekkel járó normatív állami támogatást igényelhettünk a Ktv. 8. sz. mellékletében foglaltak szerint.</w:t>
      </w:r>
    </w:p>
    <w:p w:rsidR="00A25219" w:rsidRDefault="00A25219">
      <w:pPr>
        <w:jc w:val="both"/>
        <w:rPr>
          <w:sz w:val="24"/>
          <w:szCs w:val="24"/>
        </w:rPr>
      </w:pPr>
      <w:r>
        <w:rPr>
          <w:sz w:val="24"/>
          <w:szCs w:val="24"/>
        </w:rPr>
        <w:t xml:space="preserve">Egyes normatív támogatások az elmúlt évhez képest átkerültek a kötött felhasználású támogatások közé. A finanszírozásról minden hónapban értesítést kapunk. Bevételi elmaradás nem mutatható ki. </w:t>
      </w:r>
    </w:p>
    <w:p w:rsidR="00A25219" w:rsidRDefault="00A25219">
      <w:pPr>
        <w:jc w:val="both"/>
        <w:rPr>
          <w:sz w:val="24"/>
          <w:szCs w:val="24"/>
        </w:rPr>
      </w:pPr>
    </w:p>
    <w:p w:rsidR="00A25219" w:rsidRDefault="00A25219">
      <w:pPr>
        <w:jc w:val="both"/>
        <w:rPr>
          <w:b/>
          <w:bCs/>
          <w:sz w:val="24"/>
          <w:szCs w:val="24"/>
        </w:rPr>
      </w:pPr>
      <w:r>
        <w:rPr>
          <w:b/>
          <w:bCs/>
          <w:sz w:val="24"/>
          <w:szCs w:val="24"/>
        </w:rPr>
        <w:t xml:space="preserve"> 4. Támogatásértékű működési bevételek:</w:t>
      </w:r>
    </w:p>
    <w:p w:rsidR="00A25219" w:rsidRDefault="00A25219">
      <w:pPr>
        <w:jc w:val="both"/>
        <w:rPr>
          <w:sz w:val="24"/>
          <w:szCs w:val="24"/>
        </w:rPr>
      </w:pPr>
      <w:r>
        <w:rPr>
          <w:sz w:val="24"/>
          <w:szCs w:val="24"/>
        </w:rPr>
        <w:t>Működési célú pénzeszköz átvételt 6847 e Ft-ot terveztünk. Ez az összeg az OEP finanszírozásból származik. Az OEP-től átvett pénzeszköz 3223 eFt-ban teljesült, az időarányos teljesítésnek megfelel.(4.sz. melléklet)</w:t>
      </w:r>
    </w:p>
    <w:p w:rsidR="00A25219" w:rsidRDefault="00A25219">
      <w:pPr>
        <w:jc w:val="both"/>
        <w:rPr>
          <w:sz w:val="24"/>
          <w:szCs w:val="24"/>
        </w:rPr>
      </w:pPr>
    </w:p>
    <w:p w:rsidR="00A25219" w:rsidRDefault="00A25219">
      <w:pPr>
        <w:jc w:val="both"/>
        <w:rPr>
          <w:b/>
          <w:bCs/>
          <w:sz w:val="24"/>
          <w:szCs w:val="24"/>
        </w:rPr>
      </w:pPr>
      <w:r>
        <w:rPr>
          <w:sz w:val="24"/>
          <w:szCs w:val="24"/>
        </w:rPr>
        <w:t xml:space="preserve"> </w:t>
      </w:r>
      <w:r>
        <w:rPr>
          <w:b/>
          <w:bCs/>
          <w:sz w:val="24"/>
          <w:szCs w:val="24"/>
        </w:rPr>
        <w:t>5. Felhalmozási célú pénzeszköz átvétel</w:t>
      </w:r>
    </w:p>
    <w:p w:rsidR="00A25219" w:rsidRDefault="00A25219">
      <w:pPr>
        <w:jc w:val="both"/>
        <w:rPr>
          <w:color w:val="000000"/>
          <w:sz w:val="24"/>
          <w:szCs w:val="24"/>
        </w:rPr>
      </w:pPr>
      <w:r>
        <w:rPr>
          <w:sz w:val="24"/>
          <w:szCs w:val="24"/>
        </w:rPr>
        <w:t xml:space="preserve">A 2012. évi költségvetésben felhalmozási támogatásértékű pénzeszköz  átvétel nem került tervezésre </w:t>
      </w:r>
    </w:p>
    <w:p w:rsidR="00A25219" w:rsidRDefault="00A25219">
      <w:pPr>
        <w:jc w:val="both"/>
        <w:rPr>
          <w:b/>
          <w:bCs/>
          <w:sz w:val="24"/>
          <w:szCs w:val="24"/>
        </w:rPr>
      </w:pPr>
    </w:p>
    <w:p w:rsidR="00A25219" w:rsidRDefault="00A25219">
      <w:pPr>
        <w:jc w:val="both"/>
        <w:rPr>
          <w:sz w:val="24"/>
          <w:szCs w:val="24"/>
        </w:rPr>
      </w:pPr>
      <w:r>
        <w:rPr>
          <w:b/>
          <w:bCs/>
          <w:sz w:val="24"/>
          <w:szCs w:val="24"/>
        </w:rPr>
        <w:t xml:space="preserve">6. Hitelek, értékpapír bevételei. </w:t>
      </w:r>
      <w:r>
        <w:rPr>
          <w:sz w:val="24"/>
          <w:szCs w:val="24"/>
        </w:rPr>
        <w:t>Tervezett összeg: 35.187 e Ft</w:t>
      </w:r>
    </w:p>
    <w:p w:rsidR="00A25219" w:rsidRDefault="00A25219">
      <w:pPr>
        <w:jc w:val="both"/>
        <w:rPr>
          <w:sz w:val="24"/>
          <w:szCs w:val="24"/>
        </w:rPr>
      </w:pPr>
    </w:p>
    <w:p w:rsidR="00A25219" w:rsidRDefault="00A25219">
      <w:pPr>
        <w:jc w:val="both"/>
        <w:rPr>
          <w:sz w:val="24"/>
          <w:szCs w:val="24"/>
        </w:rPr>
      </w:pPr>
      <w:r>
        <w:rPr>
          <w:sz w:val="24"/>
          <w:szCs w:val="24"/>
        </w:rPr>
        <w:t>A likviditási hitelekből  származó összegek előirányzatánál csökkenést mutathatunk ki, mivel az önhiki pályázaton nyert az önkormányzat.</w:t>
      </w:r>
    </w:p>
    <w:p w:rsidR="00A25219" w:rsidRDefault="00A25219">
      <w:pPr>
        <w:jc w:val="both"/>
        <w:rPr>
          <w:sz w:val="24"/>
          <w:szCs w:val="24"/>
        </w:rPr>
      </w:pPr>
      <w:r>
        <w:rPr>
          <w:sz w:val="24"/>
          <w:szCs w:val="24"/>
        </w:rPr>
        <w:t xml:space="preserve"> </w:t>
      </w:r>
    </w:p>
    <w:p w:rsidR="00A25219" w:rsidRDefault="00A25219">
      <w:pPr>
        <w:jc w:val="both"/>
        <w:rPr>
          <w:b/>
          <w:bCs/>
          <w:sz w:val="24"/>
          <w:szCs w:val="24"/>
        </w:rPr>
      </w:pPr>
      <w:r>
        <w:rPr>
          <w:b/>
          <w:bCs/>
          <w:sz w:val="24"/>
          <w:szCs w:val="24"/>
        </w:rPr>
        <w:t>KIADÁSOK ALAKULÁSA:</w:t>
      </w:r>
    </w:p>
    <w:p w:rsidR="00A25219" w:rsidRDefault="00A25219">
      <w:pPr>
        <w:jc w:val="both"/>
        <w:rPr>
          <w:b/>
          <w:bCs/>
          <w:sz w:val="24"/>
          <w:szCs w:val="24"/>
        </w:rPr>
      </w:pPr>
    </w:p>
    <w:p w:rsidR="00A25219" w:rsidRDefault="00A25219">
      <w:pPr>
        <w:jc w:val="both"/>
        <w:rPr>
          <w:sz w:val="24"/>
          <w:szCs w:val="24"/>
        </w:rPr>
      </w:pPr>
      <w:r>
        <w:rPr>
          <w:sz w:val="24"/>
          <w:szCs w:val="24"/>
        </w:rPr>
        <w:t>A kiadások tervezésénél is figyelembe vettük a költségvetési, és az egyéb szakmai törvényeket, valamint a helyi döntéseket, illetve a költségvetési döntés-előkészítő anyagokat. Az önkormányzati kiadások fedezetéül, a költségvetési törvény alapján járó állami támogatások és juttatások, az önkormányzat saját és átvett bevételei szolgálnak. A kiadási előirányzatok tervezésénél, a költségvetési törvényvonatkozó részeit, valamint a koncepció tervezetben, illetve annak tárgyalásakor megfogalmazott elveket alkalmaztuk.(2.sz. melléklet)</w:t>
      </w:r>
    </w:p>
    <w:p w:rsidR="00A25219" w:rsidRDefault="00A25219">
      <w:pPr>
        <w:pStyle w:val="ListParagraph"/>
        <w:numPr>
          <w:ilvl w:val="0"/>
          <w:numId w:val="3"/>
        </w:numPr>
        <w:jc w:val="both"/>
        <w:rPr>
          <w:b/>
          <w:bCs/>
          <w:sz w:val="24"/>
          <w:szCs w:val="24"/>
        </w:rPr>
      </w:pPr>
      <w:r>
        <w:rPr>
          <w:b/>
          <w:bCs/>
          <w:sz w:val="24"/>
          <w:szCs w:val="24"/>
        </w:rPr>
        <w:t>Személyi juttatások.</w:t>
      </w:r>
    </w:p>
    <w:p w:rsidR="00A25219" w:rsidRDefault="00A25219">
      <w:pPr>
        <w:jc w:val="both"/>
        <w:rPr>
          <w:sz w:val="24"/>
          <w:szCs w:val="24"/>
        </w:rPr>
      </w:pPr>
      <w:r>
        <w:rPr>
          <w:sz w:val="24"/>
          <w:szCs w:val="24"/>
        </w:rPr>
        <w:t>Tervezett összeg: 77 074 e Ft</w:t>
      </w:r>
    </w:p>
    <w:p w:rsidR="00A25219" w:rsidRDefault="00A25219">
      <w:pPr>
        <w:jc w:val="both"/>
        <w:rPr>
          <w:sz w:val="24"/>
          <w:szCs w:val="24"/>
        </w:rPr>
      </w:pPr>
      <w:r>
        <w:rPr>
          <w:sz w:val="24"/>
          <w:szCs w:val="24"/>
        </w:rPr>
        <w:t>Mivel sem a köztisztviselői, sem a közalkalmazotti illetményalap nem változott, így béremeléssel nem számoltunk, csak a soros előre lépések, valamint a jubileumi juttatások kerültek a személyi juttatások tervezésénél figyelembe véve.</w:t>
      </w:r>
    </w:p>
    <w:p w:rsidR="00A25219" w:rsidRDefault="00A25219">
      <w:pPr>
        <w:jc w:val="both"/>
        <w:rPr>
          <w:sz w:val="24"/>
          <w:szCs w:val="24"/>
        </w:rPr>
      </w:pPr>
      <w:r>
        <w:rPr>
          <w:sz w:val="24"/>
          <w:szCs w:val="24"/>
        </w:rPr>
        <w:t xml:space="preserve">A kiadások teljesítése időarányos. A költségvetés elfogadásakor meghatározott kiadást csökkentő intézkedések az 1-6  hónap kiadásainál nem jelentkeznek. </w:t>
      </w:r>
    </w:p>
    <w:p w:rsidR="00A25219" w:rsidRPr="002D2B87" w:rsidRDefault="00A25219" w:rsidP="002D2B87">
      <w:pPr>
        <w:pStyle w:val="ListParagraph"/>
        <w:numPr>
          <w:ilvl w:val="0"/>
          <w:numId w:val="3"/>
        </w:numPr>
        <w:jc w:val="both"/>
        <w:rPr>
          <w:b/>
          <w:bCs/>
          <w:sz w:val="24"/>
          <w:szCs w:val="24"/>
        </w:rPr>
      </w:pPr>
      <w:r>
        <w:rPr>
          <w:b/>
          <w:bCs/>
          <w:sz w:val="24"/>
          <w:szCs w:val="24"/>
        </w:rPr>
        <w:t>Munkaadókat terhelő járulékok.</w:t>
      </w:r>
    </w:p>
    <w:p w:rsidR="00A25219" w:rsidRDefault="00A25219">
      <w:pPr>
        <w:jc w:val="both"/>
        <w:rPr>
          <w:sz w:val="24"/>
          <w:szCs w:val="24"/>
        </w:rPr>
      </w:pPr>
      <w:r>
        <w:rPr>
          <w:sz w:val="24"/>
          <w:szCs w:val="24"/>
        </w:rPr>
        <w:t>Tervezett összeg: 20526e Ft.</w:t>
      </w:r>
    </w:p>
    <w:p w:rsidR="00A25219" w:rsidRDefault="00A25219">
      <w:pPr>
        <w:jc w:val="both"/>
        <w:rPr>
          <w:sz w:val="24"/>
          <w:szCs w:val="24"/>
        </w:rPr>
      </w:pPr>
      <w:r>
        <w:rPr>
          <w:sz w:val="24"/>
          <w:szCs w:val="24"/>
        </w:rPr>
        <w:t xml:space="preserve">A munkaadói járulékok teljesítése a személyi juttatásokéhoz hasonló. </w:t>
      </w:r>
    </w:p>
    <w:p w:rsidR="00A25219" w:rsidRDefault="00A25219">
      <w:pPr>
        <w:jc w:val="both"/>
        <w:rPr>
          <w:sz w:val="24"/>
          <w:szCs w:val="24"/>
        </w:rPr>
      </w:pPr>
    </w:p>
    <w:p w:rsidR="00A25219" w:rsidRDefault="00A25219">
      <w:pPr>
        <w:jc w:val="both"/>
        <w:rPr>
          <w:b/>
          <w:bCs/>
          <w:sz w:val="24"/>
          <w:szCs w:val="24"/>
        </w:rPr>
      </w:pPr>
      <w:r>
        <w:rPr>
          <w:b/>
          <w:bCs/>
          <w:sz w:val="24"/>
          <w:szCs w:val="24"/>
        </w:rPr>
        <w:t>3. Dologi kiadások</w:t>
      </w:r>
    </w:p>
    <w:p w:rsidR="00A25219" w:rsidRDefault="00A25219">
      <w:pPr>
        <w:jc w:val="both"/>
        <w:rPr>
          <w:sz w:val="24"/>
          <w:szCs w:val="24"/>
        </w:rPr>
      </w:pPr>
      <w:r>
        <w:rPr>
          <w:sz w:val="24"/>
          <w:szCs w:val="24"/>
        </w:rPr>
        <w:t>Tervezett összeg: 61709 e Ft</w:t>
      </w:r>
    </w:p>
    <w:p w:rsidR="00A25219" w:rsidRDefault="00A25219">
      <w:pPr>
        <w:jc w:val="both"/>
        <w:rPr>
          <w:sz w:val="24"/>
          <w:szCs w:val="24"/>
        </w:rPr>
      </w:pPr>
      <w:r>
        <w:rPr>
          <w:sz w:val="24"/>
          <w:szCs w:val="24"/>
        </w:rPr>
        <w:t xml:space="preserve">A dologi kiadások tekintetében nagyarányú elmaradás mutatkozik, mely az állandó likviditási gondoknak  köszönhető. . </w:t>
      </w:r>
    </w:p>
    <w:p w:rsidR="00A25219" w:rsidRDefault="00A25219">
      <w:pPr>
        <w:jc w:val="both"/>
        <w:rPr>
          <w:sz w:val="24"/>
          <w:szCs w:val="24"/>
        </w:rPr>
      </w:pPr>
      <w:r>
        <w:rPr>
          <w:sz w:val="24"/>
          <w:szCs w:val="24"/>
        </w:rPr>
        <w:t>A dologi kiadások teljesítése 26212 eFt. A működéshez nélkülözhetetlen kiadásokon kívül egyéb kiadások teljesítésére nem került sor.</w:t>
      </w:r>
    </w:p>
    <w:p w:rsidR="00A25219" w:rsidRDefault="00A25219">
      <w:pPr>
        <w:jc w:val="both"/>
        <w:rPr>
          <w:sz w:val="24"/>
          <w:szCs w:val="24"/>
        </w:rPr>
      </w:pPr>
    </w:p>
    <w:p w:rsidR="00A25219" w:rsidRDefault="00A25219">
      <w:pPr>
        <w:jc w:val="both"/>
        <w:rPr>
          <w:b/>
          <w:bCs/>
          <w:sz w:val="24"/>
          <w:szCs w:val="24"/>
        </w:rPr>
      </w:pPr>
      <w:r>
        <w:rPr>
          <w:b/>
          <w:bCs/>
          <w:sz w:val="24"/>
          <w:szCs w:val="24"/>
        </w:rPr>
        <w:t xml:space="preserve">4.Működési  célú pénzeszköz átadás,támogatásértékű pénzeszköz átadás: </w:t>
      </w:r>
    </w:p>
    <w:p w:rsidR="00A25219" w:rsidRDefault="00A25219">
      <w:pPr>
        <w:jc w:val="both"/>
        <w:rPr>
          <w:color w:val="000000"/>
          <w:sz w:val="24"/>
          <w:szCs w:val="24"/>
        </w:rPr>
      </w:pPr>
      <w:r>
        <w:rPr>
          <w:color w:val="000000"/>
          <w:sz w:val="24"/>
          <w:szCs w:val="24"/>
        </w:rPr>
        <w:t>Itt kerülnek megtervezésre a szociálpolitikai juttatások, valamint a humán egészségügyi ellátást biztosító támogatások , pénzeszköz átadások.</w:t>
      </w:r>
    </w:p>
    <w:p w:rsidR="00A25219" w:rsidRDefault="00A25219">
      <w:pPr>
        <w:jc w:val="both"/>
        <w:rPr>
          <w:color w:val="000000"/>
          <w:sz w:val="24"/>
          <w:szCs w:val="24"/>
        </w:rPr>
      </w:pPr>
    </w:p>
    <w:p w:rsidR="00A25219" w:rsidRDefault="00A25219">
      <w:pPr>
        <w:jc w:val="both"/>
        <w:rPr>
          <w:sz w:val="24"/>
          <w:szCs w:val="24"/>
        </w:rPr>
      </w:pPr>
      <w:r>
        <w:rPr>
          <w:color w:val="000000"/>
          <w:sz w:val="24"/>
          <w:szCs w:val="24"/>
        </w:rPr>
        <w:t xml:space="preserve">A szociálpolitikai juttatások felhasználása időarányosnak mondható. Az önkormányzati rendeletben megállapított támogatáson kívül csak a törvényen alapuló támogatások kifizetésére kerül sor , melyet a központi költségvetés támogat. </w:t>
      </w:r>
    </w:p>
    <w:p w:rsidR="00A25219" w:rsidRDefault="00A25219">
      <w:pPr>
        <w:jc w:val="both"/>
        <w:rPr>
          <w:sz w:val="24"/>
          <w:szCs w:val="24"/>
        </w:rPr>
      </w:pPr>
    </w:p>
    <w:p w:rsidR="00A25219" w:rsidRDefault="00A25219">
      <w:pPr>
        <w:jc w:val="both"/>
        <w:rPr>
          <w:b/>
          <w:bCs/>
          <w:sz w:val="24"/>
          <w:szCs w:val="24"/>
        </w:rPr>
      </w:pPr>
      <w:r>
        <w:rPr>
          <w:b/>
          <w:bCs/>
          <w:sz w:val="24"/>
          <w:szCs w:val="24"/>
        </w:rPr>
        <w:t>5. Felhalmozási pénzeszköz átadás.</w:t>
      </w:r>
    </w:p>
    <w:p w:rsidR="00A25219" w:rsidRDefault="00A25219">
      <w:pPr>
        <w:jc w:val="both"/>
        <w:rPr>
          <w:b/>
          <w:bCs/>
          <w:sz w:val="24"/>
          <w:szCs w:val="24"/>
        </w:rPr>
      </w:pPr>
    </w:p>
    <w:p w:rsidR="00A25219" w:rsidRDefault="00A25219">
      <w:pPr>
        <w:jc w:val="both"/>
        <w:rPr>
          <w:b/>
          <w:bCs/>
          <w:sz w:val="24"/>
          <w:szCs w:val="24"/>
        </w:rPr>
      </w:pPr>
      <w:r>
        <w:rPr>
          <w:b/>
          <w:bCs/>
          <w:sz w:val="24"/>
          <w:szCs w:val="24"/>
        </w:rPr>
        <w:t>6. Felújítási és beruházási kiadások</w:t>
      </w:r>
    </w:p>
    <w:p w:rsidR="00A25219" w:rsidRDefault="00A25219">
      <w:pPr>
        <w:jc w:val="both"/>
        <w:rPr>
          <w:sz w:val="24"/>
          <w:szCs w:val="24"/>
        </w:rPr>
      </w:pPr>
    </w:p>
    <w:p w:rsidR="00A25219" w:rsidRDefault="00A25219">
      <w:pPr>
        <w:jc w:val="both"/>
        <w:rPr>
          <w:b/>
          <w:bCs/>
          <w:sz w:val="24"/>
          <w:szCs w:val="24"/>
        </w:rPr>
      </w:pPr>
      <w:r>
        <w:rPr>
          <w:b/>
          <w:bCs/>
          <w:sz w:val="24"/>
          <w:szCs w:val="24"/>
        </w:rPr>
        <w:t>8. Hitelek értékpapírok kiadásai</w:t>
      </w:r>
    </w:p>
    <w:p w:rsidR="00A25219" w:rsidRDefault="00A25219">
      <w:pPr>
        <w:jc w:val="both"/>
        <w:rPr>
          <w:sz w:val="24"/>
          <w:szCs w:val="24"/>
        </w:rPr>
      </w:pPr>
      <w:r>
        <w:rPr>
          <w:sz w:val="24"/>
          <w:szCs w:val="24"/>
        </w:rPr>
        <w:t xml:space="preserve">Hitel törlesztésként kerül kimutatásra a gépjármű hitel törlesztésből származó kötelezettségünk. </w:t>
      </w:r>
    </w:p>
    <w:p w:rsidR="00A25219" w:rsidRDefault="00A25219">
      <w:pPr>
        <w:jc w:val="both"/>
        <w:rPr>
          <w:sz w:val="24"/>
          <w:szCs w:val="24"/>
        </w:rPr>
      </w:pPr>
    </w:p>
    <w:p w:rsidR="00A25219" w:rsidRDefault="00A25219">
      <w:pPr>
        <w:jc w:val="both"/>
        <w:rPr>
          <w:sz w:val="24"/>
          <w:szCs w:val="24"/>
        </w:rPr>
      </w:pPr>
      <w:r>
        <w:rPr>
          <w:sz w:val="24"/>
          <w:szCs w:val="24"/>
        </w:rPr>
        <w:t xml:space="preserve"> Összességében elmondható, hogy az önkormányzatnak többletbevétele 2012. 1-6 hónapjában nem keletkezett, forrásbővülés ezen időszakban nem mutatható ki. A kiadások teljesítése a rendelkezésre álló működésre szánható források beszűkülése miatt nehézkes, a likviditási gondok folyamatosak.</w:t>
      </w:r>
    </w:p>
    <w:p w:rsidR="00A25219" w:rsidRDefault="00A25219">
      <w:pPr>
        <w:jc w:val="both"/>
        <w:rPr>
          <w:sz w:val="24"/>
          <w:szCs w:val="24"/>
        </w:rPr>
      </w:pPr>
    </w:p>
    <w:p w:rsidR="00A25219" w:rsidRPr="003B5B53" w:rsidRDefault="00A25219">
      <w:pPr>
        <w:jc w:val="both"/>
        <w:rPr>
          <w:sz w:val="24"/>
          <w:szCs w:val="24"/>
        </w:rPr>
      </w:pPr>
      <w:r>
        <w:rPr>
          <w:sz w:val="24"/>
          <w:szCs w:val="24"/>
        </w:rPr>
        <w:t>Tisztelt Képviselő</w:t>
      </w:r>
      <w:r w:rsidRPr="003B5B53">
        <w:rPr>
          <w:sz w:val="24"/>
          <w:szCs w:val="24"/>
        </w:rPr>
        <w:t>testület!</w:t>
      </w:r>
    </w:p>
    <w:p w:rsidR="00A25219" w:rsidRPr="003B5B53" w:rsidRDefault="00A25219">
      <w:pPr>
        <w:jc w:val="both"/>
        <w:rPr>
          <w:sz w:val="24"/>
          <w:szCs w:val="24"/>
        </w:rPr>
      </w:pPr>
    </w:p>
    <w:p w:rsidR="00A25219" w:rsidRDefault="00A25219">
      <w:pPr>
        <w:jc w:val="both"/>
        <w:rPr>
          <w:sz w:val="24"/>
          <w:szCs w:val="24"/>
        </w:rPr>
      </w:pPr>
      <w:r>
        <w:rPr>
          <w:sz w:val="24"/>
          <w:szCs w:val="24"/>
        </w:rPr>
        <w:t>A fentiek alapján javaslom a tájékoztató megtárgyalását és az alábbi határozati javaslat elfogadását:</w:t>
      </w:r>
    </w:p>
    <w:p w:rsidR="00A25219" w:rsidRDefault="00A25219">
      <w:pPr>
        <w:jc w:val="both"/>
        <w:rPr>
          <w:b/>
          <w:bCs/>
          <w:sz w:val="24"/>
          <w:szCs w:val="24"/>
        </w:rPr>
      </w:pPr>
      <w:r>
        <w:rPr>
          <w:b/>
          <w:bCs/>
          <w:sz w:val="24"/>
          <w:szCs w:val="24"/>
        </w:rPr>
        <w:t>Tiszavárkony Község Önkormányzat Képviselőtestületének</w:t>
      </w:r>
    </w:p>
    <w:p w:rsidR="00A25219" w:rsidRDefault="00A25219">
      <w:pPr>
        <w:jc w:val="both"/>
        <w:rPr>
          <w:b/>
          <w:bCs/>
          <w:sz w:val="24"/>
          <w:szCs w:val="24"/>
        </w:rPr>
      </w:pPr>
      <w:r>
        <w:rPr>
          <w:b/>
          <w:bCs/>
          <w:sz w:val="24"/>
          <w:szCs w:val="24"/>
        </w:rPr>
        <w:t>……./2012. (IX. …..) önkormányzati határozata</w:t>
      </w:r>
    </w:p>
    <w:p w:rsidR="00A25219" w:rsidRDefault="00A25219">
      <w:pPr>
        <w:jc w:val="both"/>
        <w:rPr>
          <w:b/>
          <w:bCs/>
          <w:sz w:val="24"/>
          <w:szCs w:val="24"/>
        </w:rPr>
      </w:pPr>
      <w:r>
        <w:rPr>
          <w:b/>
          <w:bCs/>
          <w:sz w:val="24"/>
          <w:szCs w:val="24"/>
        </w:rPr>
        <w:t xml:space="preserve"> Tiszavárkony Községi Önkormányzat gazdálkodásának 2012. első félévi helyzetéről</w:t>
      </w:r>
    </w:p>
    <w:p w:rsidR="00A25219" w:rsidRDefault="00A25219">
      <w:pPr>
        <w:jc w:val="both"/>
        <w:rPr>
          <w:b/>
          <w:bCs/>
          <w:sz w:val="24"/>
          <w:szCs w:val="24"/>
        </w:rPr>
      </w:pPr>
    </w:p>
    <w:p w:rsidR="00A25219" w:rsidRDefault="00A25219">
      <w:pPr>
        <w:jc w:val="both"/>
        <w:rPr>
          <w:sz w:val="24"/>
          <w:szCs w:val="24"/>
        </w:rPr>
      </w:pPr>
    </w:p>
    <w:p w:rsidR="00A25219" w:rsidRDefault="00A25219">
      <w:pPr>
        <w:jc w:val="both"/>
        <w:rPr>
          <w:sz w:val="24"/>
          <w:szCs w:val="24"/>
        </w:rPr>
      </w:pPr>
      <w:r>
        <w:rPr>
          <w:sz w:val="24"/>
          <w:szCs w:val="24"/>
        </w:rPr>
        <w:t>Tiszavárkony Községi  Önkormányzat Képviselő-testülete a helyi önkormányzatokról szóló 1990. évi LXV. törvényben biztosított jogkörében, valamint az államháztartásról szóló 2011 évi CXCV törvény 27. § (1) bekezdése és 87. § (1) bekezdése alapján eljárva, az alábbi határozatot hozza:</w:t>
      </w:r>
    </w:p>
    <w:p w:rsidR="00A25219" w:rsidRDefault="00A25219">
      <w:pPr>
        <w:jc w:val="both"/>
        <w:rPr>
          <w:sz w:val="24"/>
          <w:szCs w:val="24"/>
        </w:rPr>
      </w:pPr>
    </w:p>
    <w:p w:rsidR="00A25219" w:rsidRDefault="00A25219">
      <w:pPr>
        <w:jc w:val="both"/>
        <w:rPr>
          <w:sz w:val="24"/>
          <w:szCs w:val="24"/>
        </w:rPr>
      </w:pPr>
      <w:r>
        <w:rPr>
          <w:sz w:val="24"/>
          <w:szCs w:val="24"/>
        </w:rPr>
        <w:t>A gazdálkodás 2012. első félévi helyzetéről szóló tájékoztató megismerte, a benne foglaltakkal egyetért és elfogadja.</w:t>
      </w:r>
    </w:p>
    <w:p w:rsidR="00A25219" w:rsidRDefault="00A25219">
      <w:pPr>
        <w:jc w:val="both"/>
        <w:rPr>
          <w:sz w:val="24"/>
          <w:szCs w:val="24"/>
        </w:rPr>
      </w:pPr>
    </w:p>
    <w:p w:rsidR="00A25219" w:rsidRDefault="00A25219">
      <w:pPr>
        <w:jc w:val="both"/>
        <w:rPr>
          <w:sz w:val="24"/>
          <w:szCs w:val="24"/>
        </w:rPr>
      </w:pPr>
      <w:r>
        <w:rPr>
          <w:sz w:val="24"/>
          <w:szCs w:val="24"/>
        </w:rPr>
        <w:t>Tiszavárkony,  2012. szeptember 12.</w:t>
      </w:r>
    </w:p>
    <w:p w:rsidR="00A25219" w:rsidRDefault="00A25219">
      <w:pPr>
        <w:jc w:val="both"/>
        <w:rPr>
          <w:sz w:val="24"/>
          <w:szCs w:val="24"/>
        </w:rPr>
      </w:pPr>
      <w:r>
        <w:rPr>
          <w:sz w:val="24"/>
          <w:szCs w:val="24"/>
        </w:rPr>
        <w:t xml:space="preserve">                                                       </w:t>
      </w:r>
    </w:p>
    <w:p w:rsidR="00A25219" w:rsidRDefault="00A25219">
      <w:pPr>
        <w:ind w:left="3540" w:firstLine="708"/>
        <w:jc w:val="both"/>
        <w:rPr>
          <w:sz w:val="24"/>
          <w:szCs w:val="24"/>
        </w:rPr>
      </w:pPr>
    </w:p>
    <w:p w:rsidR="00A25219" w:rsidRDefault="00A25219">
      <w:pPr>
        <w:ind w:left="3540" w:firstLine="708"/>
        <w:jc w:val="both"/>
        <w:rPr>
          <w:sz w:val="24"/>
          <w:szCs w:val="24"/>
        </w:rPr>
      </w:pPr>
      <w:r>
        <w:rPr>
          <w:sz w:val="24"/>
          <w:szCs w:val="24"/>
        </w:rPr>
        <w:t xml:space="preserve">                  Mészáros Zoltán</w:t>
      </w:r>
      <w:r>
        <w:rPr>
          <w:sz w:val="24"/>
          <w:szCs w:val="24"/>
        </w:rPr>
        <w:tab/>
        <w:t xml:space="preserve"> </w:t>
      </w:r>
      <w:r>
        <w:rPr>
          <w:sz w:val="24"/>
          <w:szCs w:val="24"/>
        </w:rPr>
        <w:tab/>
      </w:r>
      <w:r>
        <w:rPr>
          <w:sz w:val="24"/>
          <w:szCs w:val="24"/>
        </w:rPr>
        <w:tab/>
      </w:r>
      <w:r>
        <w:rPr>
          <w:sz w:val="24"/>
          <w:szCs w:val="24"/>
        </w:rPr>
        <w:tab/>
      </w:r>
      <w:r>
        <w:rPr>
          <w:sz w:val="24"/>
          <w:szCs w:val="24"/>
        </w:rPr>
        <w:tab/>
        <w:t xml:space="preserve">         polgármester</w:t>
      </w:r>
    </w:p>
    <w:p w:rsidR="00A25219" w:rsidRDefault="00A25219">
      <w:pPr>
        <w:tabs>
          <w:tab w:val="center" w:pos="4535"/>
          <w:tab w:val="right" w:pos="9070"/>
        </w:tabs>
        <w:rPr>
          <w:sz w:val="24"/>
          <w:szCs w:val="24"/>
        </w:rPr>
      </w:pPr>
    </w:p>
    <w:p w:rsidR="00A25219" w:rsidRDefault="00A25219">
      <w:pPr>
        <w:jc w:val="center"/>
        <w:rPr>
          <w:b/>
          <w:bCs/>
          <w:sz w:val="24"/>
          <w:szCs w:val="24"/>
        </w:rPr>
      </w:pPr>
    </w:p>
    <w:sectPr w:rsidR="00A25219" w:rsidSect="00450227">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219" w:rsidRDefault="00A25219">
      <w:r>
        <w:separator/>
      </w:r>
    </w:p>
  </w:endnote>
  <w:endnote w:type="continuationSeparator" w:id="1">
    <w:p w:rsidR="00A25219" w:rsidRDefault="00A252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219" w:rsidRDefault="00A25219">
    <w:pPr>
      <w:pStyle w:val="Footer"/>
    </w:pPr>
    <w:fldSimple w:instr=" PAGE   \* MERGEFORMAT ">
      <w:r>
        <w:rPr>
          <w:noProof/>
        </w:rPr>
        <w:t>3</w:t>
      </w:r>
    </w:fldSimple>
  </w:p>
  <w:p w:rsidR="00A25219" w:rsidRDefault="00A252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219" w:rsidRDefault="00A25219">
      <w:r>
        <w:separator/>
      </w:r>
    </w:p>
  </w:footnote>
  <w:footnote w:type="continuationSeparator" w:id="1">
    <w:p w:rsidR="00A25219" w:rsidRDefault="00A252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219" w:rsidRDefault="00A25219">
    <w:pPr>
      <w:pStyle w:val="Header"/>
    </w:pPr>
    <w:fldSimple w:instr=" PAGE   \* MERGEFORMAT ">
      <w:r>
        <w:rPr>
          <w:noProof/>
        </w:rPr>
        <w:t>3</w:t>
      </w:r>
    </w:fldSimple>
  </w:p>
  <w:p w:rsidR="00A25219" w:rsidRDefault="00A252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F36F0"/>
    <w:multiLevelType w:val="hybridMultilevel"/>
    <w:tmpl w:val="1870CF2C"/>
    <w:lvl w:ilvl="0" w:tplc="040E000F">
      <w:start w:val="1"/>
      <w:numFmt w:val="decimal"/>
      <w:lvlText w:val="%1."/>
      <w:lvlJc w:val="left"/>
      <w:pPr>
        <w:tabs>
          <w:tab w:val="num" w:pos="720"/>
        </w:tabs>
        <w:ind w:left="720" w:hanging="360"/>
      </w:pPr>
      <w:rPr>
        <w:rFonts w:ascii="Times New Roman" w:hAnsi="Times New Roman" w:cs="Times New Roman" w:hint="default"/>
      </w:rPr>
    </w:lvl>
    <w:lvl w:ilvl="1" w:tplc="040E0019">
      <w:start w:val="1"/>
      <w:numFmt w:val="lowerLetter"/>
      <w:lvlText w:val="%2."/>
      <w:lvlJc w:val="left"/>
      <w:pPr>
        <w:tabs>
          <w:tab w:val="num" w:pos="1440"/>
        </w:tabs>
        <w:ind w:left="1440" w:hanging="360"/>
      </w:pPr>
      <w:rPr>
        <w:rFonts w:ascii="Times New Roman" w:hAnsi="Times New Roman" w:cs="Times New Roman"/>
      </w:rPr>
    </w:lvl>
    <w:lvl w:ilvl="2" w:tplc="040E001B">
      <w:start w:val="1"/>
      <w:numFmt w:val="lowerRoman"/>
      <w:lvlText w:val="%3."/>
      <w:lvlJc w:val="right"/>
      <w:pPr>
        <w:tabs>
          <w:tab w:val="num" w:pos="2160"/>
        </w:tabs>
        <w:ind w:left="2160" w:hanging="180"/>
      </w:pPr>
      <w:rPr>
        <w:rFonts w:ascii="Times New Roman" w:hAnsi="Times New Roman" w:cs="Times New Roman"/>
      </w:rPr>
    </w:lvl>
    <w:lvl w:ilvl="3" w:tplc="040E000F">
      <w:start w:val="1"/>
      <w:numFmt w:val="decimal"/>
      <w:lvlText w:val="%4."/>
      <w:lvlJc w:val="left"/>
      <w:pPr>
        <w:tabs>
          <w:tab w:val="num" w:pos="2880"/>
        </w:tabs>
        <w:ind w:left="2880" w:hanging="360"/>
      </w:pPr>
      <w:rPr>
        <w:rFonts w:ascii="Times New Roman" w:hAnsi="Times New Roman" w:cs="Times New Roman"/>
      </w:rPr>
    </w:lvl>
    <w:lvl w:ilvl="4" w:tplc="040E0019">
      <w:start w:val="1"/>
      <w:numFmt w:val="lowerLetter"/>
      <w:lvlText w:val="%5."/>
      <w:lvlJc w:val="left"/>
      <w:pPr>
        <w:tabs>
          <w:tab w:val="num" w:pos="3600"/>
        </w:tabs>
        <w:ind w:left="3600" w:hanging="360"/>
      </w:pPr>
      <w:rPr>
        <w:rFonts w:ascii="Times New Roman" w:hAnsi="Times New Roman" w:cs="Times New Roman"/>
      </w:rPr>
    </w:lvl>
    <w:lvl w:ilvl="5" w:tplc="040E001B">
      <w:start w:val="1"/>
      <w:numFmt w:val="lowerRoman"/>
      <w:lvlText w:val="%6."/>
      <w:lvlJc w:val="right"/>
      <w:pPr>
        <w:tabs>
          <w:tab w:val="num" w:pos="4320"/>
        </w:tabs>
        <w:ind w:left="4320" w:hanging="18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lowerLetter"/>
      <w:lvlText w:val="%8."/>
      <w:lvlJc w:val="left"/>
      <w:pPr>
        <w:tabs>
          <w:tab w:val="num" w:pos="5760"/>
        </w:tabs>
        <w:ind w:left="5760" w:hanging="360"/>
      </w:pPr>
      <w:rPr>
        <w:rFonts w:ascii="Times New Roman" w:hAnsi="Times New Roman" w:cs="Times New Roman"/>
      </w:rPr>
    </w:lvl>
    <w:lvl w:ilvl="8" w:tplc="040E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0972012C"/>
    <w:multiLevelType w:val="hybridMultilevel"/>
    <w:tmpl w:val="4246E728"/>
    <w:lvl w:ilvl="0" w:tplc="040E000B">
      <w:start w:val="1"/>
      <w:numFmt w:val="bullet"/>
      <w:lvlText w:val=""/>
      <w:lvlJc w:val="left"/>
      <w:pPr>
        <w:tabs>
          <w:tab w:val="num" w:pos="540"/>
        </w:tabs>
        <w:ind w:left="540" w:hanging="360"/>
      </w:pPr>
      <w:rPr>
        <w:rFonts w:ascii="Wingdings" w:hAnsi="Wingdings" w:cs="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
    <w:nsid w:val="0A047946"/>
    <w:multiLevelType w:val="hybridMultilevel"/>
    <w:tmpl w:val="802ED054"/>
    <w:lvl w:ilvl="0" w:tplc="619AC6CE">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3">
    <w:nsid w:val="14692830"/>
    <w:multiLevelType w:val="hybridMultilevel"/>
    <w:tmpl w:val="918AF1D0"/>
    <w:lvl w:ilvl="0" w:tplc="040E000B">
      <w:start w:val="1"/>
      <w:numFmt w:val="bullet"/>
      <w:lvlText w:val=""/>
      <w:lvlJc w:val="left"/>
      <w:pPr>
        <w:tabs>
          <w:tab w:val="num" w:pos="720"/>
        </w:tabs>
        <w:ind w:left="720" w:hanging="360"/>
      </w:pPr>
      <w:rPr>
        <w:rFonts w:ascii="Wingdings" w:hAnsi="Wingdings" w:cs="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4">
    <w:nsid w:val="5B8E1E7C"/>
    <w:multiLevelType w:val="hybridMultilevel"/>
    <w:tmpl w:val="7A2454CA"/>
    <w:lvl w:ilvl="0" w:tplc="4266C262">
      <w:start w:val="1"/>
      <w:numFmt w:val="decimal"/>
      <w:lvlText w:val="%1."/>
      <w:lvlJc w:val="left"/>
      <w:pPr>
        <w:ind w:left="405" w:hanging="360"/>
      </w:pPr>
      <w:rPr>
        <w:rFonts w:ascii="Times New Roman" w:hAnsi="Times New Roman" w:cs="Times New Roman" w:hint="default"/>
      </w:rPr>
    </w:lvl>
    <w:lvl w:ilvl="1" w:tplc="040E0019">
      <w:start w:val="1"/>
      <w:numFmt w:val="lowerLetter"/>
      <w:lvlText w:val="%2."/>
      <w:lvlJc w:val="left"/>
      <w:pPr>
        <w:ind w:left="1125" w:hanging="360"/>
      </w:pPr>
      <w:rPr>
        <w:rFonts w:ascii="Times New Roman" w:hAnsi="Times New Roman" w:cs="Times New Roman"/>
      </w:rPr>
    </w:lvl>
    <w:lvl w:ilvl="2" w:tplc="040E001B">
      <w:start w:val="1"/>
      <w:numFmt w:val="lowerRoman"/>
      <w:lvlText w:val="%3."/>
      <w:lvlJc w:val="right"/>
      <w:pPr>
        <w:ind w:left="1845" w:hanging="180"/>
      </w:pPr>
      <w:rPr>
        <w:rFonts w:ascii="Times New Roman" w:hAnsi="Times New Roman" w:cs="Times New Roman"/>
      </w:rPr>
    </w:lvl>
    <w:lvl w:ilvl="3" w:tplc="040E000F">
      <w:start w:val="1"/>
      <w:numFmt w:val="decimal"/>
      <w:lvlText w:val="%4."/>
      <w:lvlJc w:val="left"/>
      <w:pPr>
        <w:ind w:left="2565" w:hanging="360"/>
      </w:pPr>
      <w:rPr>
        <w:rFonts w:ascii="Times New Roman" w:hAnsi="Times New Roman" w:cs="Times New Roman"/>
      </w:rPr>
    </w:lvl>
    <w:lvl w:ilvl="4" w:tplc="040E0019">
      <w:start w:val="1"/>
      <w:numFmt w:val="lowerLetter"/>
      <w:lvlText w:val="%5."/>
      <w:lvlJc w:val="left"/>
      <w:pPr>
        <w:ind w:left="3285" w:hanging="360"/>
      </w:pPr>
      <w:rPr>
        <w:rFonts w:ascii="Times New Roman" w:hAnsi="Times New Roman" w:cs="Times New Roman"/>
      </w:rPr>
    </w:lvl>
    <w:lvl w:ilvl="5" w:tplc="040E001B">
      <w:start w:val="1"/>
      <w:numFmt w:val="lowerRoman"/>
      <w:lvlText w:val="%6."/>
      <w:lvlJc w:val="right"/>
      <w:pPr>
        <w:ind w:left="4005" w:hanging="180"/>
      </w:pPr>
      <w:rPr>
        <w:rFonts w:ascii="Times New Roman" w:hAnsi="Times New Roman" w:cs="Times New Roman"/>
      </w:rPr>
    </w:lvl>
    <w:lvl w:ilvl="6" w:tplc="040E000F">
      <w:start w:val="1"/>
      <w:numFmt w:val="decimal"/>
      <w:lvlText w:val="%7."/>
      <w:lvlJc w:val="left"/>
      <w:pPr>
        <w:ind w:left="4725" w:hanging="360"/>
      </w:pPr>
      <w:rPr>
        <w:rFonts w:ascii="Times New Roman" w:hAnsi="Times New Roman" w:cs="Times New Roman"/>
      </w:rPr>
    </w:lvl>
    <w:lvl w:ilvl="7" w:tplc="040E0019">
      <w:start w:val="1"/>
      <w:numFmt w:val="lowerLetter"/>
      <w:lvlText w:val="%8."/>
      <w:lvlJc w:val="left"/>
      <w:pPr>
        <w:ind w:left="5445" w:hanging="360"/>
      </w:pPr>
      <w:rPr>
        <w:rFonts w:ascii="Times New Roman" w:hAnsi="Times New Roman" w:cs="Times New Roman"/>
      </w:rPr>
    </w:lvl>
    <w:lvl w:ilvl="8" w:tplc="040E001B">
      <w:start w:val="1"/>
      <w:numFmt w:val="lowerRoman"/>
      <w:lvlText w:val="%9."/>
      <w:lvlJc w:val="right"/>
      <w:pPr>
        <w:ind w:left="6165" w:hanging="180"/>
      </w:pPr>
      <w:rPr>
        <w:rFonts w:ascii="Times New Roman" w:hAnsi="Times New Roman" w:cs="Times New Roman"/>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0227"/>
    <w:rsid w:val="00061FDE"/>
    <w:rsid w:val="002D2B87"/>
    <w:rsid w:val="00351896"/>
    <w:rsid w:val="003B5B53"/>
    <w:rsid w:val="00450227"/>
    <w:rsid w:val="005211A3"/>
    <w:rsid w:val="006417EA"/>
    <w:rsid w:val="006A5454"/>
    <w:rsid w:val="006A6735"/>
    <w:rsid w:val="006A751B"/>
    <w:rsid w:val="008918A8"/>
    <w:rsid w:val="009E147E"/>
    <w:rsid w:val="00A25219"/>
    <w:rsid w:val="00D63B5F"/>
    <w:rsid w:val="00DD38C3"/>
    <w:rsid w:val="00E742A1"/>
    <w:rsid w:val="00E77E85"/>
    <w:rsid w:val="00EE3B1F"/>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B1F"/>
    <w:rPr>
      <w:rFonts w:ascii="Times New Roman" w:hAnsi="Times New Roman"/>
      <w:sz w:val="20"/>
      <w:szCs w:val="20"/>
    </w:rPr>
  </w:style>
  <w:style w:type="paragraph" w:styleId="Heading1">
    <w:name w:val="heading 1"/>
    <w:basedOn w:val="Normal"/>
    <w:next w:val="Normal"/>
    <w:link w:val="Heading1Char"/>
    <w:uiPriority w:val="99"/>
    <w:qFormat/>
    <w:rsid w:val="00EE3B1F"/>
    <w:pPr>
      <w:keepNext/>
      <w:outlineLvl w:val="0"/>
    </w:pPr>
    <w:rPr>
      <w:b/>
      <w:bCs/>
      <w:sz w:val="24"/>
      <w:szCs w:val="24"/>
    </w:rPr>
  </w:style>
  <w:style w:type="paragraph" w:styleId="Heading7">
    <w:name w:val="heading 7"/>
    <w:basedOn w:val="Normal"/>
    <w:next w:val="Normal"/>
    <w:link w:val="Heading7Char"/>
    <w:uiPriority w:val="99"/>
    <w:qFormat/>
    <w:rsid w:val="00EE3B1F"/>
    <w:pPr>
      <w:overflowPunct w:val="0"/>
      <w:autoSpaceDE w:val="0"/>
      <w:autoSpaceDN w:val="0"/>
      <w:adjustRightInd w:val="0"/>
      <w:spacing w:before="240" w:after="60"/>
      <w:textAlignment w:val="baseline"/>
      <w:outlineLvl w:val="6"/>
    </w:pPr>
    <w:rPr>
      <w:rFonts w:ascii="Calibri" w:hAnsi="Calibri" w:cs="Calibri"/>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E3B1F"/>
    <w:rPr>
      <w:rFonts w:ascii="Times New Roman" w:hAnsi="Times New Roman" w:cs="Times New Roman"/>
      <w:b/>
      <w:bCs/>
      <w:sz w:val="24"/>
      <w:szCs w:val="24"/>
    </w:rPr>
  </w:style>
  <w:style w:type="character" w:customStyle="1" w:styleId="Heading7Char">
    <w:name w:val="Heading 7 Char"/>
    <w:basedOn w:val="DefaultParagraphFont"/>
    <w:link w:val="Heading7"/>
    <w:uiPriority w:val="99"/>
    <w:locked/>
    <w:rsid w:val="00EE3B1F"/>
    <w:rPr>
      <w:rFonts w:ascii="Times New Roman" w:hAnsi="Times New Roman" w:cs="Times New Roman"/>
      <w:sz w:val="24"/>
      <w:szCs w:val="24"/>
    </w:rPr>
  </w:style>
  <w:style w:type="paragraph" w:styleId="BalloonText">
    <w:name w:val="Balloon Text"/>
    <w:basedOn w:val="Normal"/>
    <w:link w:val="BalloonTextChar"/>
    <w:uiPriority w:val="99"/>
    <w:semiHidden/>
    <w:rsid w:val="00EE3B1F"/>
    <w:rPr>
      <w:rFonts w:ascii="Tahoma" w:hAnsi="Tahoma" w:cs="Tahoma"/>
      <w:sz w:val="16"/>
      <w:szCs w:val="16"/>
    </w:rPr>
  </w:style>
  <w:style w:type="character" w:customStyle="1" w:styleId="BalloonTextChar">
    <w:name w:val="Balloon Text Char"/>
    <w:basedOn w:val="DefaultParagraphFont"/>
    <w:link w:val="BalloonText"/>
    <w:uiPriority w:val="99"/>
    <w:locked/>
    <w:rsid w:val="00EE3B1F"/>
    <w:rPr>
      <w:rFonts w:ascii="Tahoma" w:hAnsi="Tahoma" w:cs="Tahoma"/>
      <w:sz w:val="16"/>
      <w:szCs w:val="16"/>
    </w:rPr>
  </w:style>
  <w:style w:type="paragraph" w:customStyle="1" w:styleId="Default">
    <w:name w:val="Default"/>
    <w:uiPriority w:val="99"/>
    <w:rsid w:val="00EE3B1F"/>
    <w:pPr>
      <w:autoSpaceDE w:val="0"/>
      <w:autoSpaceDN w:val="0"/>
      <w:adjustRightInd w:val="0"/>
    </w:pPr>
    <w:rPr>
      <w:rFonts w:ascii="Times New Roman" w:hAnsi="Times New Roman"/>
      <w:color w:val="000000"/>
      <w:sz w:val="24"/>
      <w:szCs w:val="24"/>
    </w:rPr>
  </w:style>
  <w:style w:type="paragraph" w:styleId="BodyText">
    <w:name w:val="Body Text"/>
    <w:basedOn w:val="Normal"/>
    <w:link w:val="BodyTextChar"/>
    <w:uiPriority w:val="99"/>
    <w:rsid w:val="00EE3B1F"/>
    <w:pPr>
      <w:jc w:val="both"/>
    </w:pPr>
    <w:rPr>
      <w:sz w:val="28"/>
      <w:szCs w:val="28"/>
    </w:rPr>
  </w:style>
  <w:style w:type="character" w:customStyle="1" w:styleId="BodyTextChar">
    <w:name w:val="Body Text Char"/>
    <w:basedOn w:val="DefaultParagraphFont"/>
    <w:link w:val="BodyText"/>
    <w:uiPriority w:val="99"/>
    <w:locked/>
    <w:rsid w:val="00EE3B1F"/>
    <w:rPr>
      <w:rFonts w:ascii="Times New Roman" w:hAnsi="Times New Roman" w:cs="Times New Roman"/>
      <w:sz w:val="28"/>
      <w:szCs w:val="28"/>
    </w:rPr>
  </w:style>
  <w:style w:type="paragraph" w:styleId="NoSpacing">
    <w:name w:val="No Spacing"/>
    <w:uiPriority w:val="99"/>
    <w:qFormat/>
    <w:rsid w:val="00EE3B1F"/>
    <w:rPr>
      <w:rFonts w:ascii="Times New Roman" w:hAnsi="Times New Roman"/>
      <w:sz w:val="20"/>
      <w:szCs w:val="20"/>
    </w:rPr>
  </w:style>
  <w:style w:type="paragraph" w:styleId="ListParagraph">
    <w:name w:val="List Paragraph"/>
    <w:basedOn w:val="Normal"/>
    <w:uiPriority w:val="99"/>
    <w:qFormat/>
    <w:rsid w:val="00EE3B1F"/>
    <w:pPr>
      <w:ind w:left="720"/>
    </w:pPr>
  </w:style>
  <w:style w:type="paragraph" w:styleId="Header">
    <w:name w:val="header"/>
    <w:basedOn w:val="Normal"/>
    <w:link w:val="HeaderChar"/>
    <w:uiPriority w:val="99"/>
    <w:rsid w:val="00EE3B1F"/>
    <w:pPr>
      <w:tabs>
        <w:tab w:val="center" w:pos="4536"/>
        <w:tab w:val="right" w:pos="9072"/>
      </w:tabs>
    </w:pPr>
  </w:style>
  <w:style w:type="character" w:customStyle="1" w:styleId="HeaderChar">
    <w:name w:val="Header Char"/>
    <w:basedOn w:val="DefaultParagraphFont"/>
    <w:link w:val="Header"/>
    <w:uiPriority w:val="99"/>
    <w:locked/>
    <w:rsid w:val="00EE3B1F"/>
    <w:rPr>
      <w:rFonts w:ascii="Times New Roman" w:hAnsi="Times New Roman" w:cs="Times New Roman"/>
    </w:rPr>
  </w:style>
  <w:style w:type="paragraph" w:styleId="Footer">
    <w:name w:val="footer"/>
    <w:basedOn w:val="Normal"/>
    <w:link w:val="FooterChar"/>
    <w:uiPriority w:val="99"/>
    <w:rsid w:val="00EE3B1F"/>
    <w:pPr>
      <w:tabs>
        <w:tab w:val="center" w:pos="4536"/>
        <w:tab w:val="right" w:pos="9072"/>
      </w:tabs>
    </w:pPr>
  </w:style>
  <w:style w:type="character" w:customStyle="1" w:styleId="FooterChar">
    <w:name w:val="Footer Char"/>
    <w:basedOn w:val="DefaultParagraphFont"/>
    <w:link w:val="Footer"/>
    <w:uiPriority w:val="99"/>
    <w:locked/>
    <w:rsid w:val="00EE3B1F"/>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839</Words>
  <Characters>5791</Characters>
  <Application>Microsoft Office Outlook</Application>
  <DocSecurity>0</DocSecurity>
  <Lines>0</Lines>
  <Paragraphs>0</Paragraphs>
  <ScaleCrop>false</ScaleCrop>
  <Company>jhv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Városi Önkormányzat</dc:title>
  <dc:subject/>
  <dc:creator>x</dc:creator>
  <cp:keywords/>
  <dc:description/>
  <cp:lastModifiedBy>Polgármesteri Hivatal Tiszavárkony</cp:lastModifiedBy>
  <cp:revision>6</cp:revision>
  <cp:lastPrinted>2012-09-12T05:27:00Z</cp:lastPrinted>
  <dcterms:created xsi:type="dcterms:W3CDTF">2012-09-11T12:54:00Z</dcterms:created>
  <dcterms:modified xsi:type="dcterms:W3CDTF">2012-09-12T05:38:00Z</dcterms:modified>
</cp:coreProperties>
</file>